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2D011BC3" w:rsidR="0027044A" w:rsidRDefault="00AA0D1C">
                            <w:r>
                              <w:t>20</w:t>
                            </w:r>
                            <w:r w:rsidR="005C6BD8">
                              <w:rPr>
                                <w:lang w:val="en-US"/>
                              </w:rPr>
                              <w:t>2</w:t>
                            </w:r>
                            <w:r w:rsidR="003A6786">
                              <w:rPr>
                                <w:lang w:val="en-US"/>
                              </w:rPr>
                              <w:t>3</w:t>
                            </w:r>
                            <w:r w:rsidR="00847EA0">
                              <w:t xml:space="preserve"> m.</w:t>
                            </w:r>
                            <w:r w:rsidR="00121A20">
                              <w:t xml:space="preserve"> </w:t>
                            </w:r>
                            <w:r w:rsidR="003A6786">
                              <w:t>rugsėjo</w:t>
                            </w:r>
                            <w:r w:rsidR="00847EA0">
                              <w:t xml:space="preserve"> </w:t>
                            </w:r>
                            <w:r w:rsidR="003A6786">
                              <w:t>7</w:t>
                            </w:r>
                            <w:r w:rsidR="0027044A" w:rsidRPr="0027044A">
                              <w:t xml:space="preserve"> d.</w:t>
                            </w:r>
                            <w:r w:rsidR="00121A20">
                              <w:t xml:space="preserve"> </w:t>
                            </w:r>
                            <w:r w:rsidR="0027044A" w:rsidRPr="0027044A">
                              <w:t>vald</w:t>
                            </w:r>
                            <w:r w:rsidR="0027044A">
                              <w:t>ybo</w:t>
                            </w:r>
                            <w:r w:rsidR="007C527E">
                              <w:t>s posėdžio protokolu Nr.</w:t>
                            </w:r>
                            <w:r w:rsidR="005C6BD8">
                              <w:t>202</w:t>
                            </w:r>
                            <w:r w:rsidR="003A6786">
                              <w:t>3</w:t>
                            </w:r>
                            <w:r w:rsidR="00847EA0">
                              <w:t>/</w:t>
                            </w:r>
                            <w:r w:rsidR="003A6786">
                              <w:t>09</w:t>
                            </w:r>
                            <w:r w:rsidR="00847EA0">
                              <w:t>/</w:t>
                            </w:r>
                            <w:r w:rsidR="001F5A7A">
                              <w:t>0</w:t>
                            </w:r>
                            <w:r w:rsidR="003A6786">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30305"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2D011BC3" w:rsidR="0027044A" w:rsidRDefault="00AA0D1C">
                      <w:r>
                        <w:t>20</w:t>
                      </w:r>
                      <w:r w:rsidR="005C6BD8">
                        <w:rPr>
                          <w:lang w:val="en-US"/>
                        </w:rPr>
                        <w:t>2</w:t>
                      </w:r>
                      <w:r w:rsidR="003A6786">
                        <w:rPr>
                          <w:lang w:val="en-US"/>
                        </w:rPr>
                        <w:t>3</w:t>
                      </w:r>
                      <w:r w:rsidR="00847EA0">
                        <w:t xml:space="preserve"> m.</w:t>
                      </w:r>
                      <w:r w:rsidR="00121A20">
                        <w:t xml:space="preserve"> </w:t>
                      </w:r>
                      <w:r w:rsidR="003A6786">
                        <w:t>rugsėjo</w:t>
                      </w:r>
                      <w:r w:rsidR="00847EA0">
                        <w:t xml:space="preserve"> </w:t>
                      </w:r>
                      <w:r w:rsidR="003A6786">
                        <w:t>7</w:t>
                      </w:r>
                      <w:r w:rsidR="0027044A" w:rsidRPr="0027044A">
                        <w:t xml:space="preserve"> d.</w:t>
                      </w:r>
                      <w:r w:rsidR="00121A20">
                        <w:t xml:space="preserve"> </w:t>
                      </w:r>
                      <w:r w:rsidR="0027044A" w:rsidRPr="0027044A">
                        <w:t>vald</w:t>
                      </w:r>
                      <w:r w:rsidR="0027044A">
                        <w:t>ybo</w:t>
                      </w:r>
                      <w:r w:rsidR="007C527E">
                        <w:t>s posėdžio protokolu Nr.</w:t>
                      </w:r>
                      <w:r w:rsidR="005C6BD8">
                        <w:t>202</w:t>
                      </w:r>
                      <w:r w:rsidR="003A6786">
                        <w:t>3</w:t>
                      </w:r>
                      <w:r w:rsidR="00847EA0">
                        <w:t>/</w:t>
                      </w:r>
                      <w:r w:rsidR="003A6786">
                        <w:t>09</w:t>
                      </w:r>
                      <w:r w:rsidR="00847EA0">
                        <w:t>/</w:t>
                      </w:r>
                      <w:r w:rsidR="001F5A7A">
                        <w:t>0</w:t>
                      </w:r>
                      <w:r w:rsidR="003A6786">
                        <w:t>7</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r w:rsidRPr="00422B7E">
        <w:rPr>
          <w:rFonts w:ascii="Times New Roman" w:hAnsi="Times New Roman"/>
          <w:color w:val="111111"/>
          <w:sz w:val="24"/>
          <w:szCs w:val="24"/>
        </w:rPr>
        <w:t xml:space="preserve">Vietos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savivaldybės vietos veiklos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teritorijos vietos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w:t>
      </w:r>
      <w:proofErr w:type="spellStart"/>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7F98D38A" w:rsidR="001143C4" w:rsidRPr="00422B7E" w:rsidRDefault="00847EA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Nr. </w:t>
      </w:r>
      <w:r w:rsidR="001F5A7A">
        <w:rPr>
          <w:rFonts w:ascii="Times New Roman" w:hAnsi="Times New Roman"/>
          <w:color w:val="111111"/>
          <w:sz w:val="24"/>
          <w:szCs w:val="24"/>
        </w:rPr>
        <w:t>4</w:t>
      </w:r>
      <w:r w:rsidR="003A6786">
        <w:rPr>
          <w:rFonts w:ascii="Times New Roman" w:hAnsi="Times New Roman"/>
          <w:color w:val="111111"/>
          <w:sz w:val="24"/>
          <w:szCs w:val="24"/>
        </w:rPr>
        <w:t>7</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3B57A0BB"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w:t>
            </w:r>
            <w:r w:rsidR="003A6786" w:rsidRPr="00615947">
              <w:rPr>
                <w:color w:val="000000"/>
                <w:sz w:val="22"/>
                <w:szCs w:val="22"/>
              </w:rPr>
              <w:t>202</w:t>
            </w:r>
            <w:r w:rsidR="003A6786">
              <w:rPr>
                <w:color w:val="000000"/>
                <w:sz w:val="22"/>
                <w:szCs w:val="22"/>
              </w:rPr>
              <w:t>3</w:t>
            </w:r>
            <w:r w:rsidR="003A6786" w:rsidRPr="00615947">
              <w:rPr>
                <w:color w:val="000000"/>
                <w:sz w:val="22"/>
                <w:szCs w:val="22"/>
              </w:rPr>
              <w:t xml:space="preserve"> m. </w:t>
            </w:r>
            <w:r w:rsidR="003A6786">
              <w:rPr>
                <w:color w:val="000000"/>
                <w:sz w:val="22"/>
                <w:szCs w:val="22"/>
              </w:rPr>
              <w:t>vasario</w:t>
            </w:r>
            <w:r w:rsidR="003A6786" w:rsidRPr="00615947">
              <w:rPr>
                <w:color w:val="000000"/>
                <w:sz w:val="22"/>
                <w:szCs w:val="22"/>
              </w:rPr>
              <w:t> </w:t>
            </w:r>
            <w:r w:rsidR="003A6786">
              <w:rPr>
                <w:color w:val="000000"/>
                <w:sz w:val="22"/>
                <w:szCs w:val="22"/>
              </w:rPr>
              <w:t>17</w:t>
            </w:r>
            <w:r w:rsidR="003A6786" w:rsidRPr="00615947">
              <w:rPr>
                <w:color w:val="000000"/>
                <w:sz w:val="22"/>
                <w:szCs w:val="22"/>
              </w:rPr>
              <w:t xml:space="preserve"> d. </w:t>
            </w:r>
            <w:r w:rsidR="003A6786" w:rsidRPr="00615947">
              <w:rPr>
                <w:sz w:val="22"/>
                <w:szCs w:val="22"/>
              </w:rPr>
              <w:t xml:space="preserve">įsakymo </w:t>
            </w:r>
            <w:r w:rsidR="003A6786" w:rsidRPr="00615947">
              <w:rPr>
                <w:color w:val="000000"/>
                <w:sz w:val="22"/>
                <w:szCs w:val="22"/>
              </w:rPr>
              <w:t>Nr. 3D-</w:t>
            </w:r>
            <w:r w:rsidR="003A6786">
              <w:rPr>
                <w:color w:val="000000"/>
                <w:sz w:val="22"/>
                <w:szCs w:val="22"/>
              </w:rPr>
              <w:t xml:space="preserve">89 </w:t>
            </w:r>
            <w:r w:rsidR="00D23EA2" w:rsidRPr="0079663D">
              <w:rPr>
                <w:sz w:val="22"/>
                <w:szCs w:val="22"/>
              </w:rPr>
              <w:t xml:space="preserve">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2A2057C5"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00B5164D">
              <w:rPr>
                <w:rFonts w:eastAsia="Calibri"/>
                <w:color w:val="000000" w:themeColor="text1"/>
                <w:sz w:val="22"/>
                <w:szCs w:val="22"/>
                <w:lang w:eastAsia="en-US"/>
              </w:rPr>
              <w:t xml:space="preserve"> </w:t>
            </w:r>
            <w:r w:rsidR="00B5164D" w:rsidRPr="00B5164D">
              <w:rPr>
                <w:rFonts w:eastAsia="Calibri" w:cs="Calibri"/>
                <w:lang w:eastAsia="en-US"/>
              </w:rPr>
              <w:t>EURI</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674D4636" w:rsidR="00BA472C" w:rsidRPr="005F0F44" w:rsidRDefault="003A6786"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7038B8E8"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53BED7BA" w:rsidR="00BA472C" w:rsidRPr="005F0F44" w:rsidRDefault="003A6786" w:rsidP="00736A88">
            <w:pPr>
              <w:jc w:val="center"/>
              <w:rPr>
                <w:color w:val="000000" w:themeColor="text1"/>
                <w:sz w:val="22"/>
                <w:szCs w:val="22"/>
              </w:rPr>
            </w:pPr>
            <w:r>
              <w:rPr>
                <w:color w:val="000000" w:themeColor="text1"/>
                <w:sz w:val="22"/>
                <w:szCs w:val="22"/>
              </w:rPr>
              <w:t>9</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12BEB405" w:rsidR="00BA472C" w:rsidRPr="005F0F44" w:rsidRDefault="003A6786"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394547AB" w14:textId="3B9B1634" w:rsidR="00BA472C" w:rsidRPr="005F0F44" w:rsidRDefault="003A6786" w:rsidP="00736A88">
            <w:pPr>
              <w:jc w:val="center"/>
              <w:rPr>
                <w:color w:val="000000" w:themeColor="text1"/>
                <w:sz w:val="22"/>
                <w:szCs w:val="22"/>
              </w:rPr>
            </w:pPr>
            <w:r>
              <w:rPr>
                <w:color w:val="000000" w:themeColor="text1"/>
                <w:sz w:val="22"/>
                <w:szCs w:val="22"/>
              </w:rPr>
              <w:t>8</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0C50A7E8" w:rsidR="00BA472C" w:rsidRPr="005F0F44" w:rsidRDefault="001F5A7A"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391F44CE" w:rsidR="00BA472C" w:rsidRPr="005F0F44" w:rsidRDefault="003A6786"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7575FAD3" w14:textId="1E618554"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4C1FAFBC" w:rsidR="00BA472C" w:rsidRPr="005F0F44" w:rsidRDefault="003A6786"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496C6B56" w:rsidR="00BA472C" w:rsidRPr="005F0F44" w:rsidRDefault="003A6786" w:rsidP="00736A88">
            <w:pPr>
              <w:jc w:val="center"/>
              <w:rPr>
                <w:color w:val="000000" w:themeColor="text1"/>
                <w:sz w:val="22"/>
                <w:szCs w:val="22"/>
              </w:rPr>
            </w:pPr>
            <w:r>
              <w:rPr>
                <w:color w:val="000000" w:themeColor="text1"/>
                <w:sz w:val="22"/>
                <w:szCs w:val="22"/>
              </w:rPr>
              <w:t>9</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4B2F27F5" w:rsidR="00BA472C" w:rsidRPr="005F0F44" w:rsidRDefault="003A6786" w:rsidP="00736A88">
            <w:pPr>
              <w:jc w:val="center"/>
              <w:rPr>
                <w:color w:val="000000" w:themeColor="text1"/>
                <w:sz w:val="22"/>
                <w:szCs w:val="22"/>
              </w:rPr>
            </w:pPr>
            <w:r>
              <w:rPr>
                <w:color w:val="000000" w:themeColor="text1"/>
                <w:sz w:val="22"/>
                <w:szCs w:val="22"/>
              </w:rPr>
              <w:t>3</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478A68B6" w:rsidR="00BA472C" w:rsidRPr="005F0F44" w:rsidRDefault="003A6786"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5F7677D0" w:rsidR="00BA472C" w:rsidRPr="005F0F44" w:rsidRDefault="003A6786" w:rsidP="00736A88">
            <w:pPr>
              <w:jc w:val="center"/>
              <w:rPr>
                <w:color w:val="000000" w:themeColor="text1"/>
                <w:sz w:val="22"/>
                <w:szCs w:val="22"/>
              </w:rPr>
            </w:pPr>
            <w:r>
              <w:rPr>
                <w:color w:val="000000" w:themeColor="text1"/>
                <w:sz w:val="22"/>
                <w:szCs w:val="22"/>
              </w:rPr>
              <w:t>9</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3F69BCB3" w:rsidR="00BA472C" w:rsidRPr="005F0F44" w:rsidRDefault="001F5A7A"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0B61D79" w14:textId="382924E6" w:rsidR="00BA472C" w:rsidRPr="005F0F44" w:rsidRDefault="003A6786" w:rsidP="00736A88">
            <w:pPr>
              <w:jc w:val="center"/>
              <w:rPr>
                <w:color w:val="000000" w:themeColor="text1"/>
                <w:sz w:val="22"/>
                <w:szCs w:val="22"/>
              </w:rPr>
            </w:pPr>
            <w:r>
              <w:rPr>
                <w:color w:val="000000" w:themeColor="text1"/>
                <w:sz w:val="22"/>
                <w:szCs w:val="22"/>
              </w:rPr>
              <w:t>7</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3A6786">
              <w:rPr>
                <w:color w:val="000000" w:themeColor="text1"/>
              </w:rPr>
            </w:r>
            <w:r w:rsidR="003A6786">
              <w:rPr>
                <w:color w:val="000000" w:themeColor="text1"/>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3A6786">
              <w:rPr>
                <w:color w:val="000000" w:themeColor="text1"/>
              </w:rPr>
            </w:r>
            <w:r w:rsidR="003A6786">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19370E9C"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5C6BD8">
              <w:rPr>
                <w:color w:val="000000" w:themeColor="text1"/>
                <w:sz w:val="22"/>
                <w:szCs w:val="22"/>
              </w:rPr>
              <w:t>202</w:t>
            </w:r>
            <w:r w:rsidR="003A6786">
              <w:rPr>
                <w:color w:val="000000" w:themeColor="text1"/>
                <w:sz w:val="22"/>
                <w:szCs w:val="22"/>
              </w:rPr>
              <w:t>3</w:t>
            </w:r>
            <w:r w:rsidR="006953E1" w:rsidRPr="005F0F44">
              <w:rPr>
                <w:color w:val="000000" w:themeColor="text1"/>
                <w:sz w:val="22"/>
                <w:szCs w:val="22"/>
              </w:rPr>
              <w:t>/</w:t>
            </w:r>
            <w:r w:rsidR="003A6786">
              <w:rPr>
                <w:color w:val="000000" w:themeColor="text1"/>
                <w:sz w:val="22"/>
                <w:szCs w:val="22"/>
              </w:rPr>
              <w:t>09</w:t>
            </w:r>
            <w:r w:rsidR="00E05C08" w:rsidRPr="005F0F44">
              <w:rPr>
                <w:color w:val="000000" w:themeColor="text1"/>
                <w:sz w:val="22"/>
                <w:szCs w:val="22"/>
              </w:rPr>
              <w:t>/</w:t>
            </w:r>
            <w:r w:rsidR="001F5A7A">
              <w:rPr>
                <w:color w:val="000000" w:themeColor="text1"/>
                <w:sz w:val="22"/>
                <w:szCs w:val="22"/>
              </w:rPr>
              <w:t>0</w:t>
            </w:r>
            <w:r w:rsidR="003A6786">
              <w:rPr>
                <w:color w:val="000000" w:themeColor="text1"/>
                <w:sz w:val="22"/>
                <w:szCs w:val="22"/>
              </w:rPr>
              <w:t>7</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B5164D">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0B54DD62" w:rsidR="009C6EC3" w:rsidRPr="009B6DD9" w:rsidRDefault="003A6786" w:rsidP="006133F7">
            <w:pPr>
              <w:jc w:val="both"/>
              <w:rPr>
                <w:b/>
                <w:i/>
                <w:sz w:val="22"/>
                <w:szCs w:val="22"/>
              </w:rPr>
            </w:pPr>
            <w:r>
              <w:rPr>
                <w:b/>
                <w:bCs/>
              </w:rPr>
              <w:t>52 985</w:t>
            </w:r>
            <w:r w:rsidR="001F5A7A" w:rsidRPr="005B1C46">
              <w:rPr>
                <w:b/>
                <w:bCs/>
              </w:rPr>
              <w:t>,00</w:t>
            </w:r>
            <w:r w:rsidR="001F5A7A" w:rsidRPr="006303A0">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62BC1C43" w:rsidR="008156B1" w:rsidRPr="009B6DD9" w:rsidRDefault="003A6786" w:rsidP="008156B1">
            <w:pPr>
              <w:jc w:val="both"/>
              <w:rPr>
                <w:b/>
                <w:i/>
                <w:sz w:val="22"/>
                <w:szCs w:val="22"/>
              </w:rPr>
            </w:pPr>
            <w:r>
              <w:rPr>
                <w:b/>
                <w:bCs/>
              </w:rPr>
              <w:t>47 740</w:t>
            </w:r>
            <w:r w:rsidR="001F5A7A" w:rsidRPr="005B1C46">
              <w:rPr>
                <w:b/>
                <w:bCs/>
              </w:rPr>
              <w:t>,00</w:t>
            </w:r>
            <w:r w:rsidR="001F5A7A" w:rsidRPr="006303A0">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120BFC" w:rsidRPr="007343A2">
              <w:rPr>
                <w:color w:val="000000"/>
                <w:sz w:val="22"/>
                <w:szCs w:val="22"/>
                <w:lang w:bidi="lt-LT"/>
              </w:rPr>
              <w:lastRenderedPageBreak/>
              <w:t>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16E2C3FA"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5EDAE7B6" w:rsidR="00D90E5C" w:rsidRPr="00332550" w:rsidRDefault="00BE0C4B" w:rsidP="00C95BE1">
            <w:pPr>
              <w:jc w:val="center"/>
              <w:rPr>
                <w:rStyle w:val="Emphasis"/>
                <w:i w:val="0"/>
                <w:sz w:val="22"/>
                <w:szCs w:val="22"/>
              </w:rPr>
            </w:pPr>
            <w:r w:rsidRPr="00332550">
              <w:rPr>
                <w:rStyle w:val="Emphasis"/>
                <w:i w:val="0"/>
                <w:sz w:val="22"/>
                <w:szCs w:val="22"/>
              </w:rPr>
              <w:t>3</w:t>
            </w:r>
            <w:r w:rsidR="00B46ECF">
              <w:rPr>
                <w:rStyle w:val="Emphasis"/>
                <w:i w:val="0"/>
                <w:sz w:val="22"/>
                <w:szCs w:val="22"/>
              </w:rPr>
              <w:t>5</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5ED32002" w:rsidR="00BD41C6" w:rsidRPr="00332550" w:rsidRDefault="00B46ECF" w:rsidP="00C95BE1">
            <w:pPr>
              <w:jc w:val="center"/>
              <w:rPr>
                <w:rStyle w:val="Emphasis"/>
                <w:i w:val="0"/>
                <w:sz w:val="22"/>
                <w:szCs w:val="22"/>
              </w:rPr>
            </w:pPr>
            <w:r>
              <w:rPr>
                <w:rStyle w:val="Emphasis"/>
                <w:i w:val="0"/>
                <w:sz w:val="22"/>
                <w:szCs w:val="22"/>
              </w:rPr>
              <w:t>5</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w:t>
            </w:r>
            <w:r w:rsidR="00545705" w:rsidRPr="00332550">
              <w:rPr>
                <w:rStyle w:val="Emphasis"/>
                <w:i w:val="0"/>
                <w:sz w:val="22"/>
                <w:szCs w:val="22"/>
              </w:rPr>
              <w:lastRenderedPageBreak/>
              <w:t>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37DB9D0C" w:rsidR="00F917FE" w:rsidRPr="00332550" w:rsidRDefault="00BE0C4B" w:rsidP="00C95BE1">
            <w:pPr>
              <w:jc w:val="center"/>
              <w:rPr>
                <w:rStyle w:val="Emphasis"/>
                <w:i w:val="0"/>
                <w:sz w:val="22"/>
                <w:szCs w:val="22"/>
              </w:rPr>
            </w:pPr>
            <w:r w:rsidRPr="00332550">
              <w:rPr>
                <w:rStyle w:val="Emphasis"/>
                <w:i w:val="0"/>
                <w:sz w:val="22"/>
                <w:szCs w:val="22"/>
              </w:rPr>
              <w:t>3</w:t>
            </w:r>
            <w:r w:rsidR="0078123C">
              <w:rPr>
                <w:rStyle w:val="Emphasis"/>
                <w:i w:val="0"/>
                <w:sz w:val="22"/>
                <w:szCs w:val="22"/>
              </w:rPr>
              <w:t>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lastRenderedPageBreak/>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t>4</w:t>
            </w:r>
            <w:r w:rsidR="00C267BC" w:rsidRPr="00332550">
              <w:rPr>
                <w:rStyle w:val="Emphasis"/>
                <w:i w:val="0"/>
                <w:sz w:val="22"/>
                <w:szCs w:val="22"/>
              </w:rPr>
              <w:t>.</w:t>
            </w:r>
          </w:p>
        </w:tc>
        <w:tc>
          <w:tcPr>
            <w:tcW w:w="3873" w:type="dxa"/>
            <w:shd w:val="clear" w:color="auto" w:fill="auto"/>
          </w:tcPr>
          <w:p w14:paraId="4C698A98" w14:textId="4B757EB3"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arba pareiškėjo – juridinio asmens – pagrindinis akcininkas, kurio amžius par</w:t>
            </w:r>
            <w:r w:rsidR="001D1483">
              <w:rPr>
                <w:rStyle w:val="Emphasis"/>
                <w:i w:val="0"/>
                <w:sz w:val="22"/>
                <w:szCs w:val="22"/>
              </w:rPr>
              <w:t>aiškos pateikimo metu yra iki 40</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4570F9BB"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1D1483">
              <w:rPr>
                <w:rStyle w:val="Emphasis"/>
                <w:i w:val="0"/>
                <w:sz w:val="22"/>
                <w:szCs w:val="22"/>
              </w:rPr>
              <w:t>yra iki 40</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lastRenderedPageBreak/>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Speciali kompiuterinė ir programinė įranga, skirta 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w:t>
            </w:r>
            <w:r w:rsidRPr="00731274">
              <w:rPr>
                <w:sz w:val="22"/>
                <w:szCs w:val="22"/>
              </w:rPr>
              <w:lastRenderedPageBreak/>
              <w:t>įrengimo ir (arba) sutvarkymo, kitos su 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lastRenderedPageBreak/>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w:t>
            </w:r>
            <w:r>
              <w:lastRenderedPageBreak/>
              <w:t>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w:t>
            </w:r>
            <w:r w:rsidR="007875FE" w:rsidRPr="00F66943">
              <w:rPr>
                <w:rFonts w:ascii="Times New Roman" w:hAnsi="Times New Roman" w:cs="Times New Roman"/>
                <w:sz w:val="22"/>
                <w:szCs w:val="22"/>
                <w:lang w:val="lt-LT"/>
              </w:rPr>
              <w:lastRenderedPageBreak/>
              <w:t xml:space="preserve">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6"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7" w:name="pn1_150"/>
            <w:bookmarkEnd w:id="6"/>
            <w:bookmarkEnd w:id="7"/>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45360AD7"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164D">
              <w:rPr>
                <w:rFonts w:eastAsia="Calibri"/>
                <w:sz w:val="22"/>
                <w:szCs w:val="22"/>
                <w:lang w:eastAsia="en-US"/>
              </w:rPr>
              <w:t xml:space="preserve"> EURI</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8"/>
      <w:headerReference w:type="default" r:id="rId9"/>
      <w:footerReference w:type="even" r:id="rId10"/>
      <w:headerReference w:type="first" r:id="rId11"/>
      <w:footerReference w:type="first" r:id="rId12"/>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CC370" w14:textId="77777777" w:rsidR="00EC454B" w:rsidRDefault="00EC454B" w:rsidP="0056536E">
      <w:r>
        <w:separator/>
      </w:r>
    </w:p>
  </w:endnote>
  <w:endnote w:type="continuationSeparator" w:id="0">
    <w:p w14:paraId="7CB2E6D0" w14:textId="77777777" w:rsidR="00EC454B" w:rsidRDefault="00EC454B"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A389" w14:textId="77777777" w:rsidR="00EC454B" w:rsidRDefault="00EC454B" w:rsidP="0056536E">
      <w:r>
        <w:separator/>
      </w:r>
    </w:p>
  </w:footnote>
  <w:footnote w:type="continuationSeparator" w:id="0">
    <w:p w14:paraId="481820B8" w14:textId="77777777" w:rsidR="00EC454B" w:rsidRDefault="00EC454B" w:rsidP="00565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1D1483" w:rsidRPr="001D1483">
      <w:rPr>
        <w:noProof/>
        <w:lang w:val="lt-LT"/>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15:restartNumberingAfterBreak="0">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136"/>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B87"/>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9A5"/>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1A20"/>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483"/>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A"/>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51C"/>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60"/>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86"/>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58B"/>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895"/>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3D20"/>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BD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0E6B"/>
    <w:rsid w:val="0078113B"/>
    <w:rsid w:val="0078123C"/>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CF"/>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5FD1"/>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248"/>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945"/>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E6A"/>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6ECF"/>
    <w:rsid w:val="00B47195"/>
    <w:rsid w:val="00B473F4"/>
    <w:rsid w:val="00B4756D"/>
    <w:rsid w:val="00B47A5B"/>
    <w:rsid w:val="00B47A6F"/>
    <w:rsid w:val="00B47D59"/>
    <w:rsid w:val="00B47FA0"/>
    <w:rsid w:val="00B50B2F"/>
    <w:rsid w:val="00B50C9D"/>
    <w:rsid w:val="00B5108E"/>
    <w:rsid w:val="00B5148D"/>
    <w:rsid w:val="00B5164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6E5"/>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3BF0"/>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1CEC"/>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54B"/>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1C9"/>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66D151"/>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97C6E-845B-4EEB-9751-26A1B6745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4998</Words>
  <Characters>36132</Characters>
  <Application>Microsoft Office Word</Application>
  <DocSecurity>0</DocSecurity>
  <Lines>301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41048</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petras vysniauskas</cp:lastModifiedBy>
  <cp:revision>8</cp:revision>
  <cp:lastPrinted>2017-06-21T07:18:00Z</cp:lastPrinted>
  <dcterms:created xsi:type="dcterms:W3CDTF">2021-12-23T13:19:00Z</dcterms:created>
  <dcterms:modified xsi:type="dcterms:W3CDTF">2023-09-01T15:47:00Z</dcterms:modified>
</cp:coreProperties>
</file>